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DC" w:rsidRDefault="00C71E65" w:rsidP="005619DC">
      <w:pPr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</w:t>
      </w:r>
    </w:p>
    <w:p w:rsidR="00C71E65" w:rsidRDefault="00C71E65" w:rsidP="005619DC">
      <w:pPr>
        <w:ind w:left="360" w:hanging="360"/>
        <w:rPr>
          <w:sz w:val="22"/>
        </w:rPr>
      </w:pPr>
      <w:r w:rsidRPr="00C71E65">
        <w:rPr>
          <w:sz w:val="22"/>
        </w:rPr>
        <w:t>Author Names</w:t>
      </w:r>
    </w:p>
    <w:p w:rsidR="00C71E65" w:rsidRDefault="00C71E65" w:rsidP="005619DC">
      <w:pPr>
        <w:ind w:left="360" w:hanging="360"/>
        <w:rPr>
          <w:sz w:val="22"/>
        </w:rPr>
      </w:pPr>
      <w:r>
        <w:rPr>
          <w:sz w:val="22"/>
        </w:rPr>
        <w:t>Author Affiliations (Optional)</w:t>
      </w:r>
    </w:p>
    <w:p w:rsidR="00C71E65" w:rsidRDefault="00C71E65" w:rsidP="005619DC">
      <w:pPr>
        <w:ind w:left="360" w:hanging="360"/>
        <w:rPr>
          <w:sz w:val="22"/>
        </w:rPr>
      </w:pPr>
    </w:p>
    <w:p w:rsidR="00C71E65" w:rsidRDefault="00C71E65" w:rsidP="006606D5">
      <w:pPr>
        <w:rPr>
          <w:i/>
          <w:iCs/>
          <w:sz w:val="22"/>
        </w:rPr>
      </w:pPr>
      <w:r>
        <w:rPr>
          <w:i/>
          <w:iCs/>
          <w:sz w:val="22"/>
        </w:rPr>
        <w:t>The abstract goes here. Limit the abstract to no more than 200 words. Do not indent the first paragraph.</w:t>
      </w:r>
      <w:r w:rsidR="006606D5">
        <w:rPr>
          <w:i/>
          <w:iCs/>
          <w:sz w:val="22"/>
        </w:rPr>
        <w:t xml:space="preserve"> Review </w:t>
      </w:r>
      <w:proofErr w:type="gramStart"/>
      <w:r w:rsidR="006606D5" w:rsidRPr="006606D5">
        <w:rPr>
          <w:sz w:val="22"/>
        </w:rPr>
        <w:t>The</w:t>
      </w:r>
      <w:proofErr w:type="gramEnd"/>
      <w:r w:rsidR="006606D5" w:rsidRPr="006606D5">
        <w:rPr>
          <w:sz w:val="22"/>
        </w:rPr>
        <w:t xml:space="preserve"> Minnesota</w:t>
      </w:r>
      <w:r w:rsidR="006606D5">
        <w:rPr>
          <w:i/>
          <w:iCs/>
          <w:sz w:val="22"/>
        </w:rPr>
        <w:t xml:space="preserve"> </w:t>
      </w:r>
      <w:r w:rsidR="006606D5" w:rsidRPr="006606D5">
        <w:rPr>
          <w:sz w:val="22"/>
        </w:rPr>
        <w:t>Archaeologist</w:t>
      </w:r>
      <w:r w:rsidR="006606D5">
        <w:rPr>
          <w:i/>
          <w:iCs/>
          <w:sz w:val="22"/>
        </w:rPr>
        <w:t xml:space="preserve"> Style Guide for a thorough discussion on formatting </w:t>
      </w:r>
      <w:r w:rsidR="00634B18">
        <w:rPr>
          <w:i/>
          <w:iCs/>
          <w:sz w:val="22"/>
        </w:rPr>
        <w:t xml:space="preserve">the article, citations, and references </w:t>
      </w:r>
      <w:r w:rsidR="006606D5">
        <w:rPr>
          <w:i/>
          <w:iCs/>
          <w:sz w:val="22"/>
        </w:rPr>
        <w:t>before submitting an article for review.</w:t>
      </w:r>
    </w:p>
    <w:p w:rsidR="00D2068E" w:rsidRDefault="00D2068E" w:rsidP="006606D5">
      <w:pPr>
        <w:rPr>
          <w:i/>
          <w:iCs/>
          <w:sz w:val="22"/>
        </w:rPr>
      </w:pPr>
      <w:r>
        <w:rPr>
          <w:i/>
          <w:iCs/>
          <w:sz w:val="22"/>
        </w:rPr>
        <w:tab/>
        <w:t xml:space="preserve">References Cited examples listed below can be found in </w:t>
      </w:r>
      <w:r w:rsidRPr="00D2068E">
        <w:rPr>
          <w:sz w:val="22"/>
        </w:rPr>
        <w:t>The Minnesota Archaeologist</w:t>
      </w:r>
      <w:r>
        <w:rPr>
          <w:i/>
          <w:iCs/>
          <w:sz w:val="22"/>
        </w:rPr>
        <w:t xml:space="preserve"> Style Guide with a more thorough discussion on citation examples.</w:t>
      </w:r>
    </w:p>
    <w:p w:rsidR="00C71E65" w:rsidRDefault="00C71E65" w:rsidP="006606D5">
      <w:pPr>
        <w:rPr>
          <w:i/>
          <w:iCs/>
          <w:sz w:val="22"/>
        </w:rPr>
      </w:pPr>
      <w:r>
        <w:rPr>
          <w:i/>
          <w:iCs/>
          <w:sz w:val="22"/>
        </w:rPr>
        <w:tab/>
        <w:t>This article template was finalized December 2020</w:t>
      </w:r>
      <w:r w:rsidR="00D2068E">
        <w:rPr>
          <w:i/>
          <w:iCs/>
          <w:sz w:val="22"/>
        </w:rPr>
        <w:t xml:space="preserve"> and approved by the MAS Board January 2021.</w:t>
      </w:r>
    </w:p>
    <w:p w:rsidR="00C71E65" w:rsidRDefault="00C71E65" w:rsidP="00C71E65">
      <w:pPr>
        <w:ind w:left="360" w:hanging="360"/>
        <w:rPr>
          <w:i/>
          <w:iCs/>
          <w:sz w:val="22"/>
        </w:rPr>
      </w:pPr>
    </w:p>
    <w:p w:rsidR="00C71E65" w:rsidRDefault="00D2068E" w:rsidP="00C71E65">
      <w:pPr>
        <w:ind w:left="360" w:hanging="360"/>
        <w:jc w:val="center"/>
        <w:rPr>
          <w:b/>
          <w:bCs/>
          <w:sz w:val="22"/>
        </w:rPr>
      </w:pPr>
      <w:r>
        <w:rPr>
          <w:b/>
          <w:bCs/>
          <w:sz w:val="22"/>
        </w:rPr>
        <w:t>Primary</w:t>
      </w:r>
      <w:r w:rsidR="00C71E65">
        <w:rPr>
          <w:b/>
          <w:bCs/>
          <w:sz w:val="22"/>
        </w:rPr>
        <w:t xml:space="preserve"> Heading</w:t>
      </w:r>
    </w:p>
    <w:p w:rsidR="00C71E65" w:rsidRDefault="00C71E65" w:rsidP="00C71E65">
      <w:pPr>
        <w:ind w:left="360" w:hanging="360"/>
        <w:jc w:val="center"/>
        <w:rPr>
          <w:b/>
          <w:bCs/>
          <w:sz w:val="22"/>
        </w:rPr>
      </w:pPr>
    </w:p>
    <w:p w:rsidR="00C71E65" w:rsidRDefault="00C71E65" w:rsidP="00C71E65">
      <w:pPr>
        <w:ind w:left="360" w:hanging="360"/>
        <w:rPr>
          <w:sz w:val="22"/>
        </w:rPr>
      </w:pPr>
      <w:r>
        <w:rPr>
          <w:sz w:val="22"/>
        </w:rPr>
        <w:t>The body paragraphs go here. Do not indent the first paragraph.</w:t>
      </w:r>
      <w:r w:rsidR="006606D5">
        <w:rPr>
          <w:sz w:val="22"/>
        </w:rPr>
        <w:t xml:space="preserve"> Use a single space between periods.</w:t>
      </w:r>
    </w:p>
    <w:p w:rsidR="00C71E65" w:rsidRDefault="00C71E65" w:rsidP="006606D5">
      <w:pPr>
        <w:rPr>
          <w:sz w:val="22"/>
        </w:rPr>
      </w:pPr>
      <w:r>
        <w:rPr>
          <w:sz w:val="22"/>
        </w:rPr>
        <w:tab/>
        <w:t>Indentations must be 1</w:t>
      </w:r>
      <w:r w:rsidR="006606D5">
        <w:rPr>
          <w:sz w:val="22"/>
        </w:rPr>
        <w:t>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6606D5" w:rsidP="006606D5">
      <w:pPr>
        <w:rPr>
          <w:i/>
          <w:iCs/>
          <w:sz w:val="22"/>
        </w:rPr>
      </w:pPr>
      <w:r>
        <w:rPr>
          <w:i/>
          <w:iCs/>
          <w:sz w:val="22"/>
        </w:rPr>
        <w:t>Secondary Heading</w:t>
      </w:r>
    </w:p>
    <w:p w:rsidR="006606D5" w:rsidRDefault="006606D5" w:rsidP="006606D5">
      <w:pPr>
        <w:rPr>
          <w:i/>
          <w:iCs/>
          <w:sz w:val="22"/>
        </w:rPr>
      </w:pPr>
    </w:p>
    <w:p w:rsidR="006606D5" w:rsidRDefault="006606D5" w:rsidP="006606D5">
      <w:pPr>
        <w:ind w:left="360" w:hanging="360"/>
        <w:rPr>
          <w:sz w:val="22"/>
        </w:rPr>
      </w:pPr>
      <w:r>
        <w:rPr>
          <w:sz w:val="22"/>
        </w:rPr>
        <w:t>The body paragraphs go here. Do not indent the first paragraph. Use a single space between periods.</w:t>
      </w:r>
    </w:p>
    <w:p w:rsidR="006606D5" w:rsidRDefault="006606D5" w:rsidP="006606D5">
      <w:pPr>
        <w:rPr>
          <w:sz w:val="22"/>
        </w:rPr>
      </w:pPr>
      <w:r>
        <w:rPr>
          <w:sz w:val="22"/>
        </w:rPr>
        <w:tab/>
        <w:t>Indentations must be 1/4”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6606D5" w:rsidP="006606D5">
      <w:pPr>
        <w:rPr>
          <w:sz w:val="22"/>
        </w:rPr>
      </w:pPr>
      <w:r>
        <w:rPr>
          <w:b/>
          <w:bCs/>
          <w:sz w:val="22"/>
        </w:rPr>
        <w:t>Tertiary Heading.</w:t>
      </w:r>
      <w:r>
        <w:rPr>
          <w:sz w:val="22"/>
        </w:rPr>
        <w:t xml:space="preserve">  The body paragraphs go here. Use single spaces between periods except for after the tertiary heading, as shown.</w:t>
      </w:r>
    </w:p>
    <w:p w:rsidR="006606D5" w:rsidRDefault="006606D5" w:rsidP="006606D5">
      <w:pPr>
        <w:rPr>
          <w:sz w:val="22"/>
        </w:rPr>
      </w:pPr>
      <w:r>
        <w:rPr>
          <w:sz w:val="22"/>
        </w:rPr>
        <w:tab/>
        <w:t>Indentations must be 1/4”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D2068E" w:rsidP="006606D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Primary</w:t>
      </w:r>
      <w:r w:rsidR="006606D5">
        <w:rPr>
          <w:b/>
          <w:bCs/>
          <w:sz w:val="22"/>
        </w:rPr>
        <w:t xml:space="preserve"> Heading</w:t>
      </w:r>
    </w:p>
    <w:p w:rsidR="006606D5" w:rsidRDefault="006606D5" w:rsidP="006606D5">
      <w:pPr>
        <w:jc w:val="center"/>
        <w:rPr>
          <w:b/>
          <w:bCs/>
          <w:sz w:val="22"/>
        </w:rPr>
      </w:pPr>
    </w:p>
    <w:p w:rsidR="006606D5" w:rsidRDefault="006606D5" w:rsidP="006606D5">
      <w:pPr>
        <w:rPr>
          <w:sz w:val="22"/>
        </w:rPr>
      </w:pPr>
      <w:r>
        <w:rPr>
          <w:sz w:val="22"/>
        </w:rPr>
        <w:t>The body paragraphs go here. Do not indent the first paragraph. Use a single space between periods.</w:t>
      </w:r>
    </w:p>
    <w:p w:rsidR="006606D5" w:rsidRDefault="006606D5" w:rsidP="006606D5">
      <w:pPr>
        <w:rPr>
          <w:sz w:val="22"/>
        </w:rPr>
      </w:pPr>
      <w:r>
        <w:rPr>
          <w:sz w:val="22"/>
        </w:rPr>
        <w:tab/>
        <w:t>Indentations must be 1/4”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6606D5" w:rsidP="006606D5">
      <w:pPr>
        <w:rPr>
          <w:i/>
          <w:iCs/>
          <w:sz w:val="22"/>
        </w:rPr>
      </w:pPr>
      <w:r>
        <w:rPr>
          <w:i/>
          <w:iCs/>
          <w:sz w:val="22"/>
        </w:rPr>
        <w:t>Secondary Heading</w:t>
      </w:r>
    </w:p>
    <w:p w:rsidR="006606D5" w:rsidRDefault="006606D5" w:rsidP="006606D5">
      <w:pPr>
        <w:rPr>
          <w:i/>
          <w:iCs/>
          <w:sz w:val="22"/>
        </w:rPr>
      </w:pPr>
    </w:p>
    <w:p w:rsidR="006606D5" w:rsidRDefault="006606D5" w:rsidP="006606D5">
      <w:pPr>
        <w:ind w:left="360" w:hanging="360"/>
        <w:rPr>
          <w:sz w:val="22"/>
        </w:rPr>
      </w:pPr>
      <w:r>
        <w:rPr>
          <w:sz w:val="22"/>
        </w:rPr>
        <w:t>The body paragraphs go here. Do not indent the first paragraph. Use a single space between periods.</w:t>
      </w:r>
    </w:p>
    <w:p w:rsidR="006606D5" w:rsidRDefault="006606D5" w:rsidP="006606D5">
      <w:pPr>
        <w:rPr>
          <w:sz w:val="22"/>
        </w:rPr>
      </w:pPr>
      <w:r>
        <w:rPr>
          <w:sz w:val="22"/>
        </w:rPr>
        <w:tab/>
        <w:t>Indentations must be 1/4”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6606D5" w:rsidP="006606D5">
      <w:pPr>
        <w:rPr>
          <w:i/>
          <w:iCs/>
          <w:sz w:val="22"/>
        </w:rPr>
      </w:pPr>
      <w:r>
        <w:rPr>
          <w:i/>
          <w:iCs/>
          <w:sz w:val="22"/>
        </w:rPr>
        <w:t>Secondary Heading</w:t>
      </w:r>
    </w:p>
    <w:p w:rsidR="006606D5" w:rsidRDefault="006606D5" w:rsidP="006606D5">
      <w:pPr>
        <w:rPr>
          <w:i/>
          <w:iCs/>
          <w:sz w:val="22"/>
        </w:rPr>
      </w:pPr>
    </w:p>
    <w:p w:rsidR="006606D5" w:rsidRDefault="006606D5" w:rsidP="006606D5">
      <w:pPr>
        <w:ind w:left="360" w:hanging="360"/>
        <w:rPr>
          <w:sz w:val="22"/>
        </w:rPr>
      </w:pPr>
      <w:r>
        <w:rPr>
          <w:sz w:val="22"/>
        </w:rPr>
        <w:t>The body paragraphs go here. Do not indent the first paragraph. Use a single space between periods.</w:t>
      </w:r>
    </w:p>
    <w:p w:rsidR="006606D5" w:rsidRDefault="006606D5" w:rsidP="006606D5">
      <w:pPr>
        <w:rPr>
          <w:sz w:val="22"/>
        </w:rPr>
      </w:pPr>
      <w:r>
        <w:rPr>
          <w:sz w:val="22"/>
        </w:rPr>
        <w:tab/>
        <w:t>Indentations must be 1/4”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6606D5" w:rsidP="006606D5">
      <w:pPr>
        <w:rPr>
          <w:i/>
          <w:iCs/>
          <w:sz w:val="22"/>
        </w:rPr>
      </w:pPr>
      <w:r>
        <w:rPr>
          <w:i/>
          <w:iCs/>
          <w:sz w:val="22"/>
        </w:rPr>
        <w:t>Secondary Heading</w:t>
      </w:r>
    </w:p>
    <w:p w:rsidR="006606D5" w:rsidRDefault="006606D5" w:rsidP="006606D5">
      <w:pPr>
        <w:rPr>
          <w:i/>
          <w:iCs/>
          <w:sz w:val="22"/>
        </w:rPr>
      </w:pPr>
    </w:p>
    <w:p w:rsidR="006606D5" w:rsidRDefault="006606D5" w:rsidP="006606D5">
      <w:pPr>
        <w:ind w:left="360" w:hanging="360"/>
        <w:rPr>
          <w:sz w:val="22"/>
        </w:rPr>
      </w:pPr>
      <w:r>
        <w:rPr>
          <w:sz w:val="22"/>
        </w:rPr>
        <w:t>The body paragraphs go here. Do not indent the first paragraph. Use a single space between periods.</w:t>
      </w:r>
    </w:p>
    <w:p w:rsidR="006606D5" w:rsidRDefault="006606D5" w:rsidP="006606D5">
      <w:pPr>
        <w:rPr>
          <w:sz w:val="22"/>
        </w:rPr>
      </w:pPr>
      <w:r>
        <w:rPr>
          <w:sz w:val="22"/>
        </w:rPr>
        <w:lastRenderedPageBreak/>
        <w:tab/>
        <w:t>Indentations must be 1/4”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6606D5" w:rsidP="006606D5">
      <w:pPr>
        <w:rPr>
          <w:sz w:val="22"/>
        </w:rPr>
      </w:pPr>
      <w:r>
        <w:rPr>
          <w:b/>
          <w:bCs/>
          <w:sz w:val="22"/>
        </w:rPr>
        <w:t>Tertiary Heading.</w:t>
      </w:r>
      <w:r>
        <w:rPr>
          <w:sz w:val="22"/>
        </w:rPr>
        <w:t xml:space="preserve">  The body paragraphs go here. Use single spaces between periods except for after the tertiary heading, as shown.</w:t>
      </w:r>
    </w:p>
    <w:p w:rsidR="006606D5" w:rsidRDefault="006606D5" w:rsidP="006606D5">
      <w:pPr>
        <w:rPr>
          <w:sz w:val="22"/>
        </w:rPr>
      </w:pPr>
      <w:r>
        <w:rPr>
          <w:sz w:val="22"/>
        </w:rPr>
        <w:tab/>
        <w:t>Indentations must be 1/4”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6606D5" w:rsidP="006606D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Primary Heading</w:t>
      </w:r>
    </w:p>
    <w:p w:rsidR="006606D5" w:rsidRDefault="006606D5" w:rsidP="006606D5">
      <w:pPr>
        <w:jc w:val="center"/>
        <w:rPr>
          <w:b/>
          <w:bCs/>
          <w:sz w:val="22"/>
        </w:rPr>
      </w:pPr>
    </w:p>
    <w:p w:rsidR="006606D5" w:rsidRDefault="006606D5" w:rsidP="006606D5">
      <w:pPr>
        <w:rPr>
          <w:sz w:val="22"/>
        </w:rPr>
      </w:pPr>
      <w:r>
        <w:rPr>
          <w:sz w:val="22"/>
        </w:rPr>
        <w:t>The body paragraphs go here. Do not indent the first paragraph. Use a single space between periods.</w:t>
      </w:r>
    </w:p>
    <w:p w:rsidR="006606D5" w:rsidRDefault="006606D5" w:rsidP="006606D5">
      <w:pPr>
        <w:rPr>
          <w:sz w:val="22"/>
        </w:rPr>
      </w:pPr>
      <w:r>
        <w:rPr>
          <w:sz w:val="22"/>
        </w:rPr>
        <w:tab/>
        <w:t>Indentations must be 1/4”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6606D5" w:rsidP="006606D5">
      <w:pPr>
        <w:rPr>
          <w:i/>
          <w:iCs/>
          <w:sz w:val="22"/>
        </w:rPr>
      </w:pPr>
      <w:r>
        <w:rPr>
          <w:i/>
          <w:iCs/>
          <w:sz w:val="22"/>
        </w:rPr>
        <w:t>Secondary Heading</w:t>
      </w:r>
    </w:p>
    <w:p w:rsidR="006606D5" w:rsidRDefault="006606D5" w:rsidP="006606D5">
      <w:pPr>
        <w:rPr>
          <w:i/>
          <w:iCs/>
          <w:sz w:val="22"/>
        </w:rPr>
      </w:pPr>
    </w:p>
    <w:p w:rsidR="006606D5" w:rsidRDefault="006606D5" w:rsidP="006606D5">
      <w:pPr>
        <w:ind w:left="360" w:hanging="360"/>
        <w:rPr>
          <w:sz w:val="22"/>
        </w:rPr>
      </w:pPr>
      <w:r>
        <w:rPr>
          <w:sz w:val="22"/>
        </w:rPr>
        <w:t>The body paragraphs go here. Do not indent the first paragraph. Use a single space between periods.</w:t>
      </w:r>
    </w:p>
    <w:p w:rsidR="006606D5" w:rsidRDefault="006606D5" w:rsidP="006606D5">
      <w:pPr>
        <w:rPr>
          <w:sz w:val="22"/>
        </w:rPr>
      </w:pPr>
      <w:r>
        <w:rPr>
          <w:sz w:val="22"/>
        </w:rPr>
        <w:tab/>
        <w:t>Indentations must be 1/4”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6606D5" w:rsidP="006606D5">
      <w:pPr>
        <w:rPr>
          <w:i/>
          <w:iCs/>
          <w:sz w:val="22"/>
        </w:rPr>
      </w:pPr>
      <w:r>
        <w:rPr>
          <w:i/>
          <w:iCs/>
          <w:sz w:val="22"/>
        </w:rPr>
        <w:t>Secondary Heading</w:t>
      </w:r>
    </w:p>
    <w:p w:rsidR="006606D5" w:rsidRDefault="006606D5" w:rsidP="006606D5">
      <w:pPr>
        <w:rPr>
          <w:i/>
          <w:iCs/>
          <w:sz w:val="22"/>
        </w:rPr>
      </w:pPr>
    </w:p>
    <w:p w:rsidR="006606D5" w:rsidRDefault="006606D5" w:rsidP="006606D5">
      <w:pPr>
        <w:ind w:left="360" w:hanging="360"/>
        <w:rPr>
          <w:sz w:val="22"/>
        </w:rPr>
      </w:pPr>
      <w:r>
        <w:rPr>
          <w:sz w:val="22"/>
        </w:rPr>
        <w:t>The body paragraphs go here. Do not indent the first paragraph. Use a single space between periods.</w:t>
      </w:r>
    </w:p>
    <w:p w:rsidR="006606D5" w:rsidRDefault="006606D5" w:rsidP="006606D5">
      <w:pPr>
        <w:rPr>
          <w:sz w:val="22"/>
        </w:rPr>
      </w:pPr>
      <w:r>
        <w:rPr>
          <w:sz w:val="22"/>
        </w:rPr>
        <w:tab/>
        <w:t>Indentations must be 1/4”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6606D5" w:rsidP="006606D5">
      <w:pPr>
        <w:rPr>
          <w:i/>
          <w:iCs/>
          <w:sz w:val="22"/>
        </w:rPr>
      </w:pPr>
      <w:r>
        <w:rPr>
          <w:i/>
          <w:iCs/>
          <w:sz w:val="22"/>
        </w:rPr>
        <w:t>Secondary Heading</w:t>
      </w:r>
    </w:p>
    <w:p w:rsidR="006606D5" w:rsidRDefault="006606D5" w:rsidP="006606D5">
      <w:pPr>
        <w:rPr>
          <w:i/>
          <w:iCs/>
          <w:sz w:val="22"/>
        </w:rPr>
      </w:pPr>
    </w:p>
    <w:p w:rsidR="006606D5" w:rsidRDefault="006606D5" w:rsidP="006606D5">
      <w:pPr>
        <w:ind w:left="360" w:hanging="360"/>
        <w:rPr>
          <w:sz w:val="22"/>
        </w:rPr>
      </w:pPr>
      <w:r>
        <w:rPr>
          <w:sz w:val="22"/>
        </w:rPr>
        <w:t>The body paragraphs go here. Do not indent the first paragraph. Use a single space between periods.</w:t>
      </w:r>
    </w:p>
    <w:p w:rsidR="006606D5" w:rsidRDefault="006606D5" w:rsidP="006606D5">
      <w:pPr>
        <w:rPr>
          <w:sz w:val="22"/>
        </w:rPr>
      </w:pPr>
      <w:r>
        <w:rPr>
          <w:sz w:val="22"/>
        </w:rPr>
        <w:tab/>
        <w:t>Indentations must be 1/4” in the draft to look visually appealing in the two-column format for publication.</w:t>
      </w:r>
    </w:p>
    <w:p w:rsidR="006606D5" w:rsidRDefault="006606D5" w:rsidP="006606D5">
      <w:pPr>
        <w:rPr>
          <w:sz w:val="22"/>
        </w:rPr>
      </w:pPr>
    </w:p>
    <w:p w:rsidR="006606D5" w:rsidRDefault="006606D5" w:rsidP="006606D5">
      <w:pPr>
        <w:rPr>
          <w:sz w:val="20"/>
          <w:szCs w:val="20"/>
        </w:rPr>
      </w:pPr>
      <w:r w:rsidRPr="006606D5">
        <w:rPr>
          <w:b/>
          <w:bCs/>
          <w:sz w:val="20"/>
          <w:szCs w:val="20"/>
        </w:rPr>
        <w:t>Notes.</w:t>
      </w:r>
      <w:r>
        <w:rPr>
          <w:sz w:val="20"/>
          <w:szCs w:val="20"/>
        </w:rPr>
        <w:t xml:space="preserve">  Use two spaces after the period in the “Notes” header. This is an optional section.</w:t>
      </w:r>
    </w:p>
    <w:p w:rsidR="006606D5" w:rsidRDefault="006606D5" w:rsidP="006606D5">
      <w:pPr>
        <w:rPr>
          <w:sz w:val="20"/>
          <w:szCs w:val="20"/>
        </w:rPr>
      </w:pPr>
    </w:p>
    <w:p w:rsidR="006606D5" w:rsidRDefault="006606D5" w:rsidP="006606D5">
      <w:pPr>
        <w:rPr>
          <w:sz w:val="20"/>
          <w:szCs w:val="20"/>
        </w:rPr>
      </w:pPr>
      <w:r w:rsidRPr="006606D5">
        <w:rPr>
          <w:b/>
          <w:bCs/>
          <w:sz w:val="20"/>
          <w:szCs w:val="20"/>
        </w:rPr>
        <w:t>Data Management Statement.</w:t>
      </w:r>
      <w:r>
        <w:rPr>
          <w:sz w:val="20"/>
          <w:szCs w:val="20"/>
        </w:rPr>
        <w:t xml:space="preserve">  Use two spaces after the period in the “Data Management Statement” header. This is an optional section.</w:t>
      </w:r>
    </w:p>
    <w:p w:rsidR="006606D5" w:rsidRDefault="006606D5" w:rsidP="006606D5">
      <w:pPr>
        <w:rPr>
          <w:sz w:val="20"/>
          <w:szCs w:val="20"/>
        </w:rPr>
      </w:pPr>
    </w:p>
    <w:p w:rsidR="006606D5" w:rsidRDefault="006606D5" w:rsidP="006606D5">
      <w:pPr>
        <w:rPr>
          <w:sz w:val="20"/>
          <w:szCs w:val="20"/>
        </w:rPr>
      </w:pPr>
      <w:r w:rsidRPr="006606D5">
        <w:rPr>
          <w:b/>
          <w:bCs/>
          <w:sz w:val="20"/>
          <w:szCs w:val="20"/>
        </w:rPr>
        <w:t>Acknowledgments.</w:t>
      </w:r>
      <w:r>
        <w:rPr>
          <w:sz w:val="20"/>
          <w:szCs w:val="20"/>
        </w:rPr>
        <w:t xml:space="preserve">  Use two spaces after the period in the “Acknowledgments” header. This is an optional section.</w:t>
      </w:r>
    </w:p>
    <w:p w:rsidR="006606D5" w:rsidRDefault="006606D5">
      <w:pPr>
        <w:rPr>
          <w:sz w:val="22"/>
        </w:rPr>
      </w:pPr>
      <w:r>
        <w:rPr>
          <w:sz w:val="22"/>
        </w:rPr>
        <w:br w:type="page"/>
      </w:r>
    </w:p>
    <w:p w:rsidR="006606D5" w:rsidRDefault="006606D5" w:rsidP="006606D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References Cited</w:t>
      </w:r>
    </w:p>
    <w:p w:rsidR="006606D5" w:rsidRDefault="006606D5" w:rsidP="006606D5">
      <w:pPr>
        <w:jc w:val="center"/>
        <w:rPr>
          <w:b/>
          <w:bCs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Carpenter, Leah J.</w:t>
      </w:r>
      <w:bookmarkStart w:id="0" w:name="_GoBack"/>
      <w:bookmarkEnd w:id="0"/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2008</w:t>
      </w:r>
      <w:r w:rsidRPr="00634B18">
        <w:rPr>
          <w:rFonts w:cs="Times New Roman"/>
          <w:sz w:val="22"/>
        </w:rPr>
        <w:tab/>
        <w:t>Tracking the Land: Ojibwe Land Tenure and Acquisition at Grand Portage and Leech Lake. PhD Dissertation, American Indian Studies Department, University of Arizona, Tucson.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Chenoweth, John M., and Meta F. Janowitz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2016</w:t>
      </w:r>
      <w:r w:rsidRPr="00634B18">
        <w:rPr>
          <w:rFonts w:cs="Times New Roman"/>
          <w:sz w:val="22"/>
        </w:rPr>
        <w:tab/>
        <w:t xml:space="preserve">A Primer in Historical-Period Ceramics. In </w:t>
      </w:r>
      <w:r w:rsidRPr="00634B18">
        <w:rPr>
          <w:rFonts w:cs="Times New Roman"/>
          <w:i/>
          <w:iCs/>
          <w:sz w:val="22"/>
        </w:rPr>
        <w:t>Patterns and Analysis</w:t>
      </w:r>
      <w:r w:rsidRPr="00634B18">
        <w:rPr>
          <w:rFonts w:cs="Times New Roman"/>
          <w:sz w:val="22"/>
        </w:rPr>
        <w:t>, edited by John M. Chenoweth, pp. 51-70. The Historical Archaeology Laboratory Handbook, Vol. I. Society for Historical Archaeology, Germantown, Maryland.</w:t>
      </w:r>
    </w:p>
    <w:p w:rsidR="00634B18" w:rsidRPr="00634B18" w:rsidRDefault="00634B18" w:rsidP="006606D5">
      <w:pPr>
        <w:rPr>
          <w:rFonts w:cs="Times New Roman"/>
          <w:sz w:val="22"/>
        </w:rPr>
      </w:pPr>
    </w:p>
    <w:p w:rsidR="006606D5" w:rsidRPr="00634B18" w:rsidRDefault="006606D5" w:rsidP="006606D5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Child, Brenda</w:t>
      </w:r>
    </w:p>
    <w:p w:rsidR="006606D5" w:rsidRPr="00634B18" w:rsidRDefault="006606D5" w:rsidP="006606D5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1998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Boarding School Seasons: American Indian Families, 1900-1940</w:t>
      </w:r>
      <w:r w:rsidRPr="00634B18">
        <w:rPr>
          <w:rFonts w:cs="Times New Roman"/>
          <w:sz w:val="22"/>
        </w:rPr>
        <w:t>. University of Nebraska Press, Lincoln.</w:t>
      </w:r>
    </w:p>
    <w:p w:rsidR="006606D5" w:rsidRPr="00634B18" w:rsidRDefault="006606D5" w:rsidP="006606D5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2014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My Grandfather’s Knocking Sticks: Ojibwe Family Life and Labor on the Reservation</w:t>
      </w:r>
      <w:r w:rsidRPr="00634B18">
        <w:rPr>
          <w:rFonts w:cs="Times New Roman"/>
          <w:sz w:val="22"/>
        </w:rPr>
        <w:t>. Minnesota Historical Society Press, St. Paul.</w:t>
      </w:r>
    </w:p>
    <w:p w:rsidR="00634B18" w:rsidRPr="00634B18" w:rsidRDefault="00634B18" w:rsidP="006606D5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Clayton, William J. (supervisor)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2017</w:t>
      </w:r>
      <w:r w:rsidRPr="00634B18">
        <w:rPr>
          <w:rFonts w:cs="Times New Roman"/>
          <w:sz w:val="22"/>
        </w:rPr>
        <w:tab/>
        <w:t>Unit 74 South Wall Excavation Drawing, Comfort Station Relocation Section 106 Survey, Grand Portage National Monument, Minnesota. Drawings on file, Grand Portage National Monument Archives, National Park Service, Grand Portage.</w:t>
      </w:r>
    </w:p>
    <w:p w:rsidR="00634B18" w:rsidRPr="00634B18" w:rsidRDefault="00634B18" w:rsidP="006606D5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Cordell, Linda S., Kent Lightfoot, Francis McManamon, and George Milner (editors)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2008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Archaeology in America: An Encyclopedia</w:t>
      </w:r>
      <w:r w:rsidRPr="00634B18">
        <w:rPr>
          <w:rFonts w:cs="Times New Roman"/>
          <w:sz w:val="22"/>
        </w:rPr>
        <w:t>. 4 vols. Greenwood Press, Santa Barbara.</w:t>
      </w:r>
    </w:p>
    <w:p w:rsidR="00634B18" w:rsidRPr="00634B18" w:rsidRDefault="00634B18" w:rsidP="006606D5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Densmore, Francis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1970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Chippewa Customs</w:t>
      </w:r>
      <w:r w:rsidRPr="00634B18">
        <w:rPr>
          <w:rFonts w:cs="Times New Roman"/>
          <w:sz w:val="22"/>
        </w:rPr>
        <w:t>. Reprinted. Ross and Haines, Minneapolis. Originally published 1929, Bulletin No. 86, Bureau of American Ethnology, Smithsonian Institution, Washington, D.C.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Emerson, Patricia M., and Michael A. Magner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2001</w:t>
      </w:r>
      <w:r w:rsidRPr="00634B18">
        <w:rPr>
          <w:rFonts w:cs="Times New Roman"/>
          <w:sz w:val="22"/>
        </w:rPr>
        <w:tab/>
        <w:t xml:space="preserve">Scott’s Road: Archaeology at Mud-Goose Wildlife Management Area, Cass County, Minnesota. </w:t>
      </w:r>
      <w:r w:rsidRPr="00634B18">
        <w:rPr>
          <w:rFonts w:cs="Times New Roman"/>
          <w:i/>
          <w:iCs/>
          <w:sz w:val="22"/>
        </w:rPr>
        <w:t>The Minnesota Archaeologist</w:t>
      </w:r>
      <w:r w:rsidRPr="00634B18">
        <w:rPr>
          <w:rFonts w:cs="Times New Roman"/>
          <w:sz w:val="22"/>
        </w:rPr>
        <w:t xml:space="preserve"> 60:55-70.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Fay, Robert P.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1978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A Records and Literature Search of Archeological Sites in Wisconsin Counties Located within the Lake Michigan Costal Zone</w:t>
      </w:r>
      <w:r w:rsidRPr="00634B18">
        <w:rPr>
          <w:rFonts w:cs="Times New Roman"/>
          <w:sz w:val="22"/>
        </w:rPr>
        <w:t>. Office of Coastal Zone Management, National Oceanic and Atmospheric Administration, Washington, D.C.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Feagins, Jim D.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1979</w:t>
      </w:r>
      <w:r w:rsidRPr="00634B18">
        <w:rPr>
          <w:rFonts w:cs="Times New Roman"/>
          <w:sz w:val="22"/>
        </w:rPr>
        <w:tab/>
        <w:t xml:space="preserve">Review of The Worlds Between Two Rivers: Perspectives on American Indians in Iowa, by Gretchen M. </w:t>
      </w:r>
      <w:proofErr w:type="spellStart"/>
      <w:r w:rsidRPr="00634B18">
        <w:rPr>
          <w:rFonts w:cs="Times New Roman"/>
          <w:sz w:val="22"/>
        </w:rPr>
        <w:t>Balaike</w:t>
      </w:r>
      <w:proofErr w:type="spellEnd"/>
      <w:r w:rsidRPr="00634B18">
        <w:rPr>
          <w:rFonts w:cs="Times New Roman"/>
          <w:sz w:val="22"/>
        </w:rPr>
        <w:t xml:space="preserve">, David Mayer </w:t>
      </w:r>
      <w:proofErr w:type="spellStart"/>
      <w:r w:rsidRPr="00634B18">
        <w:rPr>
          <w:rFonts w:cs="Times New Roman"/>
          <w:sz w:val="22"/>
        </w:rPr>
        <w:t>Gradwohl</w:t>
      </w:r>
      <w:proofErr w:type="spellEnd"/>
      <w:r w:rsidRPr="00634B18">
        <w:rPr>
          <w:rFonts w:cs="Times New Roman"/>
          <w:sz w:val="22"/>
        </w:rPr>
        <w:t xml:space="preserve">, and Charles L.P. </w:t>
      </w:r>
      <w:proofErr w:type="spellStart"/>
      <w:r w:rsidRPr="00634B18">
        <w:rPr>
          <w:rFonts w:cs="Times New Roman"/>
          <w:sz w:val="22"/>
        </w:rPr>
        <w:t>Silet</w:t>
      </w:r>
      <w:proofErr w:type="spellEnd"/>
      <w:r w:rsidRPr="00634B18">
        <w:rPr>
          <w:rFonts w:cs="Times New Roman"/>
          <w:sz w:val="22"/>
        </w:rPr>
        <w:t xml:space="preserve">. </w:t>
      </w:r>
      <w:r w:rsidRPr="00634B18">
        <w:rPr>
          <w:rFonts w:cs="Times New Roman"/>
          <w:i/>
          <w:iCs/>
          <w:sz w:val="22"/>
        </w:rPr>
        <w:t>The Minnesota Archaeologist</w:t>
      </w:r>
      <w:r w:rsidRPr="00634B18">
        <w:rPr>
          <w:rFonts w:cs="Times New Roman"/>
          <w:sz w:val="22"/>
        </w:rPr>
        <w:t xml:space="preserve"> 38(3):146-148.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George, Douglas C.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2020</w:t>
      </w:r>
      <w:r w:rsidRPr="00634B18">
        <w:rPr>
          <w:rFonts w:cs="Times New Roman"/>
          <w:sz w:val="22"/>
        </w:rPr>
        <w:tab/>
        <w:t xml:space="preserve">The Knife Lake Historic District: A Preliminary Study. Reprinted. </w:t>
      </w:r>
      <w:r w:rsidRPr="00634B18">
        <w:rPr>
          <w:rFonts w:cs="Times New Roman"/>
          <w:i/>
          <w:iCs/>
          <w:sz w:val="22"/>
        </w:rPr>
        <w:t>The Minnesota Archaeologist</w:t>
      </w:r>
      <w:r w:rsidRPr="00634B18">
        <w:rPr>
          <w:rFonts w:cs="Times New Roman"/>
          <w:sz w:val="22"/>
        </w:rPr>
        <w:t xml:space="preserve"> 76:7-20. Originally published 1974, Minnesota Historical Society, St. Paul.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Gibbon, Guy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1975</w:t>
      </w:r>
      <w:r w:rsidRPr="00634B18">
        <w:rPr>
          <w:rFonts w:cs="Times New Roman"/>
          <w:sz w:val="22"/>
        </w:rPr>
        <w:tab/>
        <w:t xml:space="preserve">The </w:t>
      </w:r>
      <w:proofErr w:type="spellStart"/>
      <w:r w:rsidRPr="00634B18">
        <w:rPr>
          <w:rFonts w:cs="Times New Roman"/>
          <w:sz w:val="22"/>
        </w:rPr>
        <w:t>Crace</w:t>
      </w:r>
      <w:proofErr w:type="spellEnd"/>
      <w:r w:rsidRPr="00634B18">
        <w:rPr>
          <w:rFonts w:cs="Times New Roman"/>
          <w:sz w:val="22"/>
        </w:rPr>
        <w:t xml:space="preserve"> Site: A Late Woodland Special Activity Site on Lake Onamia (21 ML 3). </w:t>
      </w:r>
      <w:r w:rsidRPr="00634B18">
        <w:rPr>
          <w:rFonts w:cs="Times New Roman"/>
          <w:i/>
          <w:iCs/>
          <w:sz w:val="22"/>
        </w:rPr>
        <w:t>The Minnesota Archaeologist</w:t>
      </w:r>
      <w:r w:rsidRPr="00634B18">
        <w:rPr>
          <w:rFonts w:cs="Times New Roman"/>
          <w:sz w:val="22"/>
        </w:rPr>
        <w:t xml:space="preserve"> 34(3&amp;4):49-70.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lastRenderedPageBreak/>
        <w:t xml:space="preserve">Gibbon, Guy E., Gwen Bennett, K. Anne </w:t>
      </w:r>
      <w:proofErr w:type="spellStart"/>
      <w:r w:rsidRPr="00634B18">
        <w:rPr>
          <w:rFonts w:cs="Times New Roman"/>
          <w:sz w:val="22"/>
        </w:rPr>
        <w:t>Ketz</w:t>
      </w:r>
      <w:proofErr w:type="spellEnd"/>
      <w:r w:rsidRPr="00634B18">
        <w:rPr>
          <w:rFonts w:cs="Times New Roman"/>
          <w:sz w:val="22"/>
        </w:rPr>
        <w:t>, and Thomas W. Bailey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1993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Phase III Data Recovery Operations at Site 21AN17, Anoka County, Minnesota</w:t>
      </w:r>
      <w:r w:rsidRPr="00634B18">
        <w:rPr>
          <w:rFonts w:cs="Times New Roman"/>
          <w:sz w:val="22"/>
        </w:rPr>
        <w:t>. BRW, Inc. Report prepared for the Anoka County Highway Department. Copies available from the Office of the State Archaeologist, St. Paul.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proofErr w:type="spellStart"/>
      <w:r w:rsidRPr="00634B18">
        <w:rPr>
          <w:rFonts w:cs="Times New Roman"/>
          <w:sz w:val="22"/>
        </w:rPr>
        <w:t>Haecker</w:t>
      </w:r>
      <w:proofErr w:type="spellEnd"/>
      <w:r w:rsidRPr="00634B18">
        <w:rPr>
          <w:rFonts w:cs="Times New Roman"/>
          <w:sz w:val="22"/>
        </w:rPr>
        <w:t>, Charles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2012</w:t>
      </w:r>
      <w:r w:rsidRPr="00634B18">
        <w:rPr>
          <w:rFonts w:cs="Times New Roman"/>
          <w:sz w:val="22"/>
        </w:rPr>
        <w:tab/>
        <w:t xml:space="preserve">Fire Effects on Materials of the Historic Period. In </w:t>
      </w:r>
      <w:r w:rsidRPr="00634B18">
        <w:rPr>
          <w:rFonts w:cs="Times New Roman"/>
          <w:i/>
          <w:iCs/>
          <w:sz w:val="22"/>
        </w:rPr>
        <w:t>Wildland Fire in the Ecosystems: Effects of Fire on Cultural Resources and Archaeology</w:t>
      </w:r>
      <w:r w:rsidRPr="00634B18">
        <w:rPr>
          <w:rFonts w:cs="Times New Roman"/>
          <w:sz w:val="22"/>
        </w:rPr>
        <w:t xml:space="preserve">, edited by Kevin C. Ryan, Ann </w:t>
      </w:r>
      <w:proofErr w:type="spellStart"/>
      <w:r w:rsidRPr="00634B18">
        <w:rPr>
          <w:rFonts w:cs="Times New Roman"/>
          <w:sz w:val="22"/>
        </w:rPr>
        <w:t>Trinkle</w:t>
      </w:r>
      <w:proofErr w:type="spellEnd"/>
      <w:r w:rsidRPr="00634B18">
        <w:rPr>
          <w:rFonts w:cs="Times New Roman"/>
          <w:sz w:val="22"/>
        </w:rPr>
        <w:t xml:space="preserve"> Jones, Cassandra L. Koerner, and Kristine M. Lee, pp. 131-142. General Technical Report RMRS-GTR-42-Volume 3. USFS Rocky Mountain Research Station, Fort Collins.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Halloran, Teresa, Elden Johnson, and Riaz Malik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2000</w:t>
      </w:r>
      <w:r w:rsidRPr="00634B18">
        <w:rPr>
          <w:rFonts w:cs="Times New Roman"/>
          <w:sz w:val="22"/>
        </w:rPr>
        <w:tab/>
      </w:r>
      <w:proofErr w:type="spellStart"/>
      <w:r w:rsidRPr="00634B18">
        <w:rPr>
          <w:rFonts w:cs="Times New Roman"/>
          <w:sz w:val="22"/>
        </w:rPr>
        <w:t>Groundstone</w:t>
      </w:r>
      <w:proofErr w:type="spellEnd"/>
      <w:r w:rsidRPr="00634B18">
        <w:rPr>
          <w:rFonts w:cs="Times New Roman"/>
          <w:sz w:val="22"/>
        </w:rPr>
        <w:t xml:space="preserve">. In </w:t>
      </w:r>
      <w:proofErr w:type="gramStart"/>
      <w:r w:rsidRPr="00634B18">
        <w:rPr>
          <w:rFonts w:cs="Times New Roman"/>
          <w:i/>
          <w:iCs/>
          <w:sz w:val="22"/>
        </w:rPr>
        <w:t>The</w:t>
      </w:r>
      <w:proofErr w:type="gramEnd"/>
      <w:r w:rsidRPr="00634B18">
        <w:rPr>
          <w:rFonts w:cs="Times New Roman"/>
          <w:i/>
          <w:iCs/>
          <w:sz w:val="22"/>
        </w:rPr>
        <w:t xml:space="preserve"> Lake Onamia-Trunk Highway 169 Data Recovery Project, Mille Lacs County, Minnesota</w:t>
      </w:r>
      <w:r w:rsidRPr="00634B18">
        <w:rPr>
          <w:rFonts w:cs="Times New Roman"/>
          <w:sz w:val="22"/>
        </w:rPr>
        <w:t>, edited by D. Mather and E. Abel, section 16.1-16.37. Loucks &amp; Associates, Inc. Report No. 96506-1. Report prepared for the Minnesota Department of Transportation. Copies available from the Office of the State Archaeologist, St. Paul.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Harrison, Christina, E. </w:t>
      </w:r>
      <w:proofErr w:type="spellStart"/>
      <w:r w:rsidRPr="00634B18">
        <w:rPr>
          <w:rFonts w:cs="Times New Roman"/>
          <w:sz w:val="22"/>
        </w:rPr>
        <w:t>Redepenning</w:t>
      </w:r>
      <w:proofErr w:type="spellEnd"/>
      <w:r w:rsidRPr="00634B18">
        <w:rPr>
          <w:rFonts w:cs="Times New Roman"/>
          <w:sz w:val="22"/>
        </w:rPr>
        <w:t xml:space="preserve">, C.L. Hill, G. (Rip) Rapp Jr., S.E. </w:t>
      </w:r>
      <w:proofErr w:type="spellStart"/>
      <w:r w:rsidRPr="00634B18">
        <w:rPr>
          <w:rFonts w:cs="Times New Roman"/>
          <w:sz w:val="22"/>
        </w:rPr>
        <w:t>Aschenbrenner</w:t>
      </w:r>
      <w:proofErr w:type="spellEnd"/>
      <w:r w:rsidRPr="00634B18">
        <w:rPr>
          <w:rFonts w:cs="Times New Roman"/>
          <w:sz w:val="22"/>
        </w:rPr>
        <w:t>, J.K. Huber, and S.C. Mulholland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1995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The Paleo-Indians of Southern St. Louis Co., Minnesota</w:t>
      </w:r>
      <w:r w:rsidRPr="00634B18">
        <w:rPr>
          <w:rFonts w:cs="Times New Roman"/>
          <w:sz w:val="22"/>
        </w:rPr>
        <w:t>. Monograph 4, Interdisciplinary Archaeological Studies, University of Minnesota. Kendall/Hunt Publishing Co., Dubuque.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Hayes, Katherine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2010</w:t>
      </w:r>
      <w:r w:rsidRPr="00634B18">
        <w:rPr>
          <w:rFonts w:cs="Times New Roman"/>
          <w:sz w:val="22"/>
        </w:rPr>
        <w:tab/>
        <w:t xml:space="preserve">Minnesota Connections: Investigating Archaeologies of Colonialism. </w:t>
      </w:r>
      <w:r w:rsidRPr="00634B18">
        <w:rPr>
          <w:rFonts w:cs="Times New Roman"/>
          <w:i/>
          <w:iCs/>
          <w:sz w:val="22"/>
        </w:rPr>
        <w:t>The Minnesota Archaeologist</w:t>
      </w:r>
      <w:r w:rsidRPr="00634B18">
        <w:rPr>
          <w:rFonts w:cs="Times New Roman"/>
          <w:sz w:val="22"/>
        </w:rPr>
        <w:t xml:space="preserve"> 69:189-191.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Hohman-Caine, Christy A.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1966</w:t>
      </w:r>
      <w:r w:rsidRPr="00634B18">
        <w:rPr>
          <w:rFonts w:cs="Times New Roman"/>
          <w:sz w:val="22"/>
        </w:rPr>
        <w:tab/>
        <w:t xml:space="preserve">The Neubauer Late Woodland Site in Pine County, Minnesota: An Analysis Showing Temporal and Spatial Relationships. </w:t>
      </w:r>
      <w:r w:rsidRPr="00634B18">
        <w:rPr>
          <w:rFonts w:cs="Times New Roman"/>
          <w:i/>
          <w:iCs/>
          <w:sz w:val="22"/>
        </w:rPr>
        <w:t>The Minnesota Archaeologist</w:t>
      </w:r>
      <w:r w:rsidRPr="00634B18">
        <w:rPr>
          <w:rFonts w:cs="Times New Roman"/>
          <w:sz w:val="22"/>
        </w:rPr>
        <w:t xml:space="preserve"> 28(2):74-107.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Kiesow, Danielle L.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2020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The Minnesota Archaeologist</w:t>
      </w:r>
      <w:r w:rsidRPr="00634B18">
        <w:rPr>
          <w:rFonts w:cs="Times New Roman"/>
          <w:sz w:val="22"/>
        </w:rPr>
        <w:t xml:space="preserve"> Style Guide. Minnesota Archaeological Society. Electronic document, mnarchsociety.org/mnarch.html, accessed November 8, 2021.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La Pointe Agency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1927</w:t>
      </w:r>
      <w:r w:rsidRPr="00634B18">
        <w:rPr>
          <w:rFonts w:cs="Times New Roman"/>
          <w:sz w:val="22"/>
        </w:rPr>
        <w:tab/>
        <w:t>Record of Employees. Manuscript, Record of Employees, 1883-1927. Box 1, Row 362, Compartment 924027-624024, Record Group 75, National Archives, Chicago.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proofErr w:type="spellStart"/>
      <w:r w:rsidRPr="00634B18">
        <w:rPr>
          <w:rFonts w:cs="Times New Roman"/>
          <w:sz w:val="22"/>
        </w:rPr>
        <w:t>Madwayosh</w:t>
      </w:r>
      <w:proofErr w:type="spellEnd"/>
      <w:r w:rsidRPr="00634B18">
        <w:rPr>
          <w:rFonts w:cs="Times New Roman"/>
          <w:sz w:val="22"/>
        </w:rPr>
        <w:t>, Moses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1894</w:t>
      </w:r>
      <w:r w:rsidRPr="00634B18">
        <w:rPr>
          <w:rFonts w:cs="Times New Roman"/>
          <w:sz w:val="22"/>
        </w:rPr>
        <w:tab/>
        <w:t>Letter to W.A. Mercer, U.S. Indian Agent of the La Pointe Agency, 21 May. Manuscript, Letters Received from Grand Portage Reservation, 1881-913. Box 1, Row 362, Compartment 923996-632996, Record Group 75, National Archives, Chicago.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May, Tiffany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2020</w:t>
      </w:r>
      <w:r w:rsidRPr="00634B18">
        <w:rPr>
          <w:rFonts w:cs="Times New Roman"/>
          <w:sz w:val="22"/>
        </w:rPr>
        <w:tab/>
        <w:t xml:space="preserve">Archaeologists Find Ancient Cat Etching on Peru Heritage Site. </w:t>
      </w:r>
      <w:r w:rsidRPr="00634B18">
        <w:rPr>
          <w:rFonts w:cs="Times New Roman"/>
          <w:i/>
          <w:iCs/>
          <w:sz w:val="22"/>
        </w:rPr>
        <w:t>New York Times</w:t>
      </w:r>
      <w:r w:rsidRPr="00634B18">
        <w:rPr>
          <w:rFonts w:cs="Times New Roman"/>
          <w:sz w:val="22"/>
        </w:rPr>
        <w:t xml:space="preserve"> 20 </w:t>
      </w:r>
      <w:proofErr w:type="gramStart"/>
      <w:r w:rsidRPr="00634B18">
        <w:rPr>
          <w:rFonts w:cs="Times New Roman"/>
          <w:sz w:val="22"/>
        </w:rPr>
        <w:t>October:A</w:t>
      </w:r>
      <w:proofErr w:type="gramEnd"/>
      <w:r w:rsidRPr="00634B18">
        <w:rPr>
          <w:rFonts w:cs="Times New Roman"/>
          <w:sz w:val="22"/>
        </w:rPr>
        <w:t>13. New York.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i/>
          <w:iCs/>
          <w:sz w:val="22"/>
        </w:rPr>
      </w:pPr>
      <w:r w:rsidRPr="00634B18">
        <w:rPr>
          <w:rFonts w:cs="Times New Roman"/>
          <w:i/>
          <w:iCs/>
          <w:sz w:val="22"/>
        </w:rPr>
        <w:t>Minneapolis Tribune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1889</w:t>
      </w:r>
      <w:r w:rsidRPr="00634B18">
        <w:rPr>
          <w:rFonts w:cs="Times New Roman"/>
          <w:sz w:val="22"/>
        </w:rPr>
        <w:tab/>
        <w:t xml:space="preserve">50 Stone Cutters Wanted, </w:t>
      </w:r>
      <w:proofErr w:type="spellStart"/>
      <w:r w:rsidRPr="00634B18">
        <w:rPr>
          <w:rFonts w:cs="Times New Roman"/>
          <w:sz w:val="22"/>
        </w:rPr>
        <w:t>Therien</w:t>
      </w:r>
      <w:proofErr w:type="spellEnd"/>
      <w:r w:rsidRPr="00634B18">
        <w:rPr>
          <w:rFonts w:cs="Times New Roman"/>
          <w:sz w:val="22"/>
        </w:rPr>
        <w:t xml:space="preserve"> Tool Works: Advertisement. </w:t>
      </w:r>
      <w:r w:rsidRPr="00634B18">
        <w:rPr>
          <w:rFonts w:cs="Times New Roman"/>
          <w:i/>
          <w:iCs/>
          <w:sz w:val="22"/>
        </w:rPr>
        <w:t>Minneapolis Tribune</w:t>
      </w:r>
      <w:r w:rsidRPr="00634B18">
        <w:rPr>
          <w:rFonts w:cs="Times New Roman"/>
          <w:sz w:val="22"/>
        </w:rPr>
        <w:t xml:space="preserve"> 2 October:7. Minneapolis.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lastRenderedPageBreak/>
        <w:t>Missouri Historical Society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1983</w:t>
      </w:r>
      <w:r w:rsidRPr="00634B18">
        <w:rPr>
          <w:rFonts w:cs="Times New Roman"/>
          <w:sz w:val="22"/>
        </w:rPr>
        <w:tab/>
        <w:t>American Fur Company Account Books. Microfilm, Missouri Historical Society, St. Louis.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Most, Becca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2020</w:t>
      </w:r>
      <w:r w:rsidRPr="00634B18">
        <w:rPr>
          <w:rFonts w:cs="Times New Roman"/>
          <w:sz w:val="22"/>
        </w:rPr>
        <w:tab/>
        <w:t xml:space="preserve">Art Museum Criticized for Keeping Native American Objects. </w:t>
      </w:r>
      <w:r w:rsidRPr="00634B18">
        <w:rPr>
          <w:rFonts w:cs="Times New Roman"/>
          <w:i/>
          <w:iCs/>
          <w:sz w:val="22"/>
        </w:rPr>
        <w:t>Star Tribune</w:t>
      </w:r>
      <w:r w:rsidRPr="00634B18">
        <w:rPr>
          <w:rFonts w:cs="Times New Roman"/>
          <w:sz w:val="22"/>
        </w:rPr>
        <w:t xml:space="preserve"> 31 October. Minneapolis. Electronic document, https://www.startribune.com/art-museum-criticized-for-keeping-native-american-objects/572932731/, accessed November 8, 2020.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proofErr w:type="spellStart"/>
      <w:r w:rsidRPr="00634B18">
        <w:rPr>
          <w:rFonts w:cs="Times New Roman"/>
          <w:sz w:val="22"/>
        </w:rPr>
        <w:t>Myster</w:t>
      </w:r>
      <w:proofErr w:type="spellEnd"/>
      <w:r w:rsidRPr="00634B18">
        <w:rPr>
          <w:rFonts w:cs="Times New Roman"/>
          <w:sz w:val="22"/>
        </w:rPr>
        <w:t>, James E.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1999</w:t>
      </w:r>
      <w:r w:rsidRPr="00634B18">
        <w:rPr>
          <w:rFonts w:cs="Times New Roman"/>
          <w:sz w:val="22"/>
        </w:rPr>
        <w:tab/>
        <w:t xml:space="preserve">A “Weighted” Methodology for Determining the Lithic Reduction Technologies at Six Galena Chert Acquisition Sites in Fillmore County, Minnesota. </w:t>
      </w:r>
      <w:r w:rsidRPr="00634B18">
        <w:rPr>
          <w:rFonts w:cs="Times New Roman"/>
          <w:i/>
          <w:iCs/>
          <w:sz w:val="22"/>
        </w:rPr>
        <w:t>The Minnesota Archaeologist</w:t>
      </w:r>
      <w:r w:rsidRPr="00634B18">
        <w:rPr>
          <w:rFonts w:cs="Times New Roman"/>
          <w:sz w:val="22"/>
        </w:rPr>
        <w:t xml:space="preserve"> 55(1996 Omnibus):16-33.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National Park Service (NPS)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2014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Scaling Up: Collaborative Approaches to Large Landscape Conservation</w:t>
      </w:r>
      <w:r w:rsidRPr="00634B18">
        <w:rPr>
          <w:rFonts w:cs="Times New Roman"/>
          <w:sz w:val="22"/>
        </w:rPr>
        <w:t>. National Park Service, Chesapeake Bay Office, Annapolis.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Office of the State Archaeologist and State Historic Preservation Office (SHPO)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2016</w:t>
      </w:r>
      <w:r w:rsidRPr="00634B18">
        <w:rPr>
          <w:rFonts w:cs="Times New Roman"/>
          <w:sz w:val="22"/>
        </w:rPr>
        <w:tab/>
        <w:t>Archaeological Inventory Database, Minnesota. Minnesota Geospatial Information Office. Electronic dataset, https://www.mngeo.state.mn.us/chouse/metadata/arch_inv.html, accessed May 5, 2017.</w:t>
      </w:r>
    </w:p>
    <w:p w:rsidR="00634B18" w:rsidRPr="00634B18" w:rsidRDefault="00634B18" w:rsidP="006606D5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proofErr w:type="spellStart"/>
      <w:r w:rsidRPr="00634B18">
        <w:rPr>
          <w:rFonts w:cs="Times New Roman"/>
          <w:sz w:val="22"/>
        </w:rPr>
        <w:t>Oneroad</w:t>
      </w:r>
      <w:proofErr w:type="spellEnd"/>
      <w:r w:rsidRPr="00634B18">
        <w:rPr>
          <w:rFonts w:cs="Times New Roman"/>
          <w:sz w:val="22"/>
        </w:rPr>
        <w:t>, Amos E., Alanson B. Skinner, and Laura L. Anderson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2005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Being Dakota: Tales and Traditions of the Sisseton and Wahpeton</w:t>
      </w:r>
      <w:r w:rsidRPr="00634B18">
        <w:rPr>
          <w:rFonts w:cs="Times New Roman"/>
          <w:sz w:val="22"/>
        </w:rPr>
        <w:t>. Minnesota Historical Society Press, St. Paul.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Schroeder, </w:t>
      </w:r>
      <w:proofErr w:type="spellStart"/>
      <w:r w:rsidRPr="00634B18">
        <w:rPr>
          <w:rFonts w:cs="Times New Roman"/>
          <w:sz w:val="22"/>
        </w:rPr>
        <w:t>Sissel</w:t>
      </w:r>
      <w:proofErr w:type="spellEnd"/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2007</w:t>
      </w:r>
      <w:r w:rsidRPr="00634B18">
        <w:rPr>
          <w:rFonts w:cs="Times New Roman"/>
          <w:sz w:val="22"/>
        </w:rPr>
        <w:tab/>
        <w:t xml:space="preserve">Evidence for Paleoindians in Wisconsin and at the </w:t>
      </w:r>
      <w:proofErr w:type="spellStart"/>
      <w:r w:rsidRPr="00634B18">
        <w:rPr>
          <w:rFonts w:cs="Times New Roman"/>
          <w:sz w:val="22"/>
        </w:rPr>
        <w:t>Skare</w:t>
      </w:r>
      <w:proofErr w:type="spellEnd"/>
      <w:r w:rsidRPr="00634B18">
        <w:rPr>
          <w:rFonts w:cs="Times New Roman"/>
          <w:sz w:val="22"/>
        </w:rPr>
        <w:t xml:space="preserve"> Site. </w:t>
      </w:r>
      <w:r w:rsidRPr="00634B18">
        <w:rPr>
          <w:rFonts w:cs="Times New Roman"/>
          <w:i/>
          <w:iCs/>
          <w:sz w:val="22"/>
        </w:rPr>
        <w:t>Plains Anthropologist</w:t>
      </w:r>
      <w:r w:rsidRPr="00634B18">
        <w:rPr>
          <w:rFonts w:cs="Times New Roman"/>
          <w:sz w:val="22"/>
        </w:rPr>
        <w:t>, in press.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Scullin, Wendy Munson and Michael Scullin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2014</w:t>
      </w:r>
      <w:r w:rsidRPr="00634B18">
        <w:rPr>
          <w:rFonts w:cs="Times New Roman"/>
          <w:sz w:val="22"/>
        </w:rPr>
        <w:tab/>
        <w:t>Phytolith Analysis for 13WD134 and 13WD130, Woodbury County, Iowa. Manuscript on file, Midwest Ethnohorticulture, LLC, Indianola, Iowa.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Seifert, Donna J.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1991</w:t>
      </w:r>
      <w:r w:rsidRPr="00634B18">
        <w:rPr>
          <w:rFonts w:cs="Times New Roman"/>
          <w:sz w:val="22"/>
        </w:rPr>
        <w:tab/>
        <w:t xml:space="preserve">Within Sight of the White House: The Archaeology of Working Women. </w:t>
      </w:r>
      <w:r w:rsidRPr="00634B18">
        <w:rPr>
          <w:rFonts w:cs="Times New Roman"/>
          <w:i/>
          <w:iCs/>
          <w:sz w:val="22"/>
        </w:rPr>
        <w:t>Historical Archaeology</w:t>
      </w:r>
      <w:r w:rsidRPr="00634B18">
        <w:rPr>
          <w:rFonts w:cs="Times New Roman"/>
          <w:sz w:val="22"/>
        </w:rPr>
        <w:t xml:space="preserve"> 25(4):82-108.</w:t>
      </w:r>
    </w:p>
    <w:p w:rsidR="006606D5" w:rsidRPr="00634B18" w:rsidRDefault="006606D5" w:rsidP="006606D5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Singleton, Theresa A. (editor)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1985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The Archaeology of Slavery and Plantation Life</w:t>
      </w:r>
      <w:r w:rsidRPr="00634B18">
        <w:rPr>
          <w:rFonts w:cs="Times New Roman"/>
          <w:sz w:val="22"/>
        </w:rPr>
        <w:t>. Academic Press, Orlando.</w:t>
      </w:r>
    </w:p>
    <w:p w:rsidR="00634B18" w:rsidRPr="00634B18" w:rsidRDefault="00634B18" w:rsidP="006606D5">
      <w:pPr>
        <w:rPr>
          <w:rFonts w:cs="Times New Roman"/>
          <w:sz w:val="22"/>
        </w:rPr>
      </w:pPr>
    </w:p>
    <w:p w:rsidR="006606D5" w:rsidRPr="00634B18" w:rsidRDefault="006606D5" w:rsidP="006606D5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Spector, Janet D.</w:t>
      </w:r>
    </w:p>
    <w:p w:rsidR="006606D5" w:rsidRPr="00634B18" w:rsidRDefault="006606D5" w:rsidP="006606D5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1993</w:t>
      </w:r>
      <w:r w:rsidRPr="00634B18">
        <w:rPr>
          <w:rFonts w:cs="Times New Roman"/>
          <w:sz w:val="22"/>
        </w:rPr>
        <w:tab/>
      </w:r>
      <w:r w:rsidRPr="00634B18">
        <w:rPr>
          <w:rFonts w:cs="Times New Roman"/>
          <w:i/>
          <w:iCs/>
          <w:sz w:val="22"/>
        </w:rPr>
        <w:t>What This Awl Means: Feminist Archaeology at a Wahpeton Dakota Village</w:t>
      </w:r>
      <w:r w:rsidRPr="00634B18">
        <w:rPr>
          <w:rFonts w:cs="Times New Roman"/>
          <w:sz w:val="22"/>
        </w:rPr>
        <w:t>. Minnesota Historical Society Press, St. Paul.</w:t>
      </w:r>
    </w:p>
    <w:p w:rsidR="00634B18" w:rsidRPr="00634B18" w:rsidRDefault="00634B18" w:rsidP="006606D5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Terrell, Michelle M.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2019</w:t>
      </w:r>
      <w:r w:rsidRPr="00634B18">
        <w:rPr>
          <w:rFonts w:cs="Times New Roman"/>
          <w:sz w:val="22"/>
        </w:rPr>
        <w:tab/>
        <w:t>Investigations of Early Aspect of Historic Fort Snelling. Paper presented at the 63rd Annual Midwest Archaeological Conference, Mankato.</w:t>
      </w:r>
    </w:p>
    <w:p w:rsidR="00634B18" w:rsidRPr="00634B18" w:rsidRDefault="00634B18" w:rsidP="006606D5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>Trigger, Bruce G.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lastRenderedPageBreak/>
        <w:t xml:space="preserve">  1978</w:t>
      </w:r>
      <w:r w:rsidRPr="00634B18">
        <w:rPr>
          <w:rFonts w:cs="Times New Roman"/>
          <w:sz w:val="22"/>
        </w:rPr>
        <w:tab/>
        <w:t xml:space="preserve">Cultural Unity and Diversity. In </w:t>
      </w:r>
      <w:r w:rsidRPr="00634B18">
        <w:rPr>
          <w:rFonts w:cs="Times New Roman"/>
          <w:i/>
          <w:iCs/>
          <w:sz w:val="22"/>
        </w:rPr>
        <w:t>Northeast</w:t>
      </w:r>
      <w:r w:rsidRPr="00634B18">
        <w:rPr>
          <w:rFonts w:cs="Times New Roman"/>
          <w:sz w:val="22"/>
        </w:rPr>
        <w:t>, edited by Bruce G. Trigger, pp. 798-804. Handbook of North American Indians, Vol. 15, William C. Sturtevant, general editor, Smithsonian Institution, Washington, D.C.</w:t>
      </w:r>
    </w:p>
    <w:p w:rsidR="00634B18" w:rsidRPr="00634B18" w:rsidRDefault="00634B18" w:rsidP="00634B18">
      <w:pPr>
        <w:rPr>
          <w:rFonts w:cs="Times New Roman"/>
          <w:sz w:val="22"/>
        </w:rPr>
      </w:pPr>
    </w:p>
    <w:p w:rsidR="00634B18" w:rsidRPr="00634B18" w:rsidRDefault="00634B18" w:rsidP="00634B18">
      <w:pPr>
        <w:rPr>
          <w:rFonts w:cs="Times New Roman"/>
          <w:sz w:val="22"/>
        </w:rPr>
      </w:pPr>
      <w:proofErr w:type="spellStart"/>
      <w:r w:rsidRPr="00634B18">
        <w:rPr>
          <w:rFonts w:cs="Times New Roman"/>
          <w:sz w:val="22"/>
        </w:rPr>
        <w:t>Walder</w:t>
      </w:r>
      <w:proofErr w:type="spellEnd"/>
      <w:r w:rsidRPr="00634B18">
        <w:rPr>
          <w:rFonts w:cs="Times New Roman"/>
          <w:sz w:val="22"/>
        </w:rPr>
        <w:t>, Heather and Kaleigh Perry</w:t>
      </w:r>
    </w:p>
    <w:p w:rsidR="00634B18" w:rsidRPr="00634B18" w:rsidRDefault="00634B18" w:rsidP="00634B18">
      <w:pPr>
        <w:rPr>
          <w:rFonts w:cs="Times New Roman"/>
          <w:sz w:val="22"/>
        </w:rPr>
      </w:pPr>
      <w:r w:rsidRPr="00634B18">
        <w:rPr>
          <w:rFonts w:cs="Times New Roman"/>
          <w:sz w:val="22"/>
        </w:rPr>
        <w:t xml:space="preserve">  2018</w:t>
      </w:r>
      <w:r w:rsidRPr="00634B18">
        <w:rPr>
          <w:rFonts w:cs="Times New Roman"/>
          <w:sz w:val="22"/>
        </w:rPr>
        <w:tab/>
        <w:t xml:space="preserve">Analysis of Copper-Base Metal Artifacts from Upper Michigan: A Student-Centered Research Project. </w:t>
      </w:r>
      <w:r w:rsidRPr="00634B18">
        <w:rPr>
          <w:rFonts w:cs="Times New Roman"/>
          <w:i/>
          <w:iCs/>
          <w:sz w:val="22"/>
        </w:rPr>
        <w:t>The Wisconsin Archeologist</w:t>
      </w:r>
      <w:r w:rsidRPr="00634B18">
        <w:rPr>
          <w:rFonts w:cs="Times New Roman"/>
          <w:sz w:val="22"/>
        </w:rPr>
        <w:t xml:space="preserve"> 99(1):177-194.</w:t>
      </w:r>
    </w:p>
    <w:p w:rsidR="006606D5" w:rsidRPr="006606D5" w:rsidRDefault="006606D5" w:rsidP="006606D5">
      <w:pPr>
        <w:jc w:val="center"/>
        <w:rPr>
          <w:b/>
          <w:bCs/>
          <w:sz w:val="22"/>
        </w:rPr>
      </w:pPr>
    </w:p>
    <w:sectPr w:rsidR="006606D5" w:rsidRPr="006606D5" w:rsidSect="00C7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DC"/>
    <w:rsid w:val="000F44A5"/>
    <w:rsid w:val="00113587"/>
    <w:rsid w:val="001A726D"/>
    <w:rsid w:val="002C6E71"/>
    <w:rsid w:val="005619DC"/>
    <w:rsid w:val="00634B18"/>
    <w:rsid w:val="006606D5"/>
    <w:rsid w:val="008B003F"/>
    <w:rsid w:val="008C492B"/>
    <w:rsid w:val="00B259B2"/>
    <w:rsid w:val="00C53609"/>
    <w:rsid w:val="00C71E65"/>
    <w:rsid w:val="00D2068E"/>
    <w:rsid w:val="00DE4C1E"/>
    <w:rsid w:val="00F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EBD1"/>
  <w15:chartTrackingRefBased/>
  <w15:docId w15:val="{83923C5E-52E8-4AE7-A943-289D6F61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Kiesow, Danielle</dc:creator>
  <cp:keywords/>
  <dc:description/>
  <cp:lastModifiedBy>Kiesow, Danielle</cp:lastModifiedBy>
  <cp:revision>2</cp:revision>
  <dcterms:created xsi:type="dcterms:W3CDTF">2020-12-28T22:09:00Z</dcterms:created>
  <dcterms:modified xsi:type="dcterms:W3CDTF">2021-01-08T16:55:00Z</dcterms:modified>
</cp:coreProperties>
</file>